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</w:tr>
      <w:tr>
        <w:trPr>
          <w:trHeight w:val="459.521484375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Critical Success Factor, Program Risk, Program Approach and Deliverables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Tammy Freud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5/14/21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9:40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.10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.10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5/14/21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NAME:RIANDRIA GORDON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Goals and objective, expected benefits, issues and constraints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F.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05/14/21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11:00PM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1.3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Management Approach, Budget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and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5/15/21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12:30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YOUR TITLE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b3PPRY/1k+snQ2OmKRtaVBuf3Q==">AMUW2mUCS54AkZ6t2bahGxgF4yYUmR2iA79t/9viVuZKKHS8z45KduhhoXLPxqGqgLXNcAhbB9zGkZA82ALpXtpObvO57hG/xtTa3GHMIxqwmTWPa2W5xrI=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